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0A" w:rsidRDefault="00EB320A" w:rsidP="00EB320A">
      <w:pPr>
        <w:autoSpaceDE w:val="0"/>
        <w:adjustRightInd w:val="0"/>
        <w:jc w:val="center"/>
        <w:rPr>
          <w:rFonts w:ascii="Bookman Old Style" w:hAnsi="Bookman Old Style" w:cs="Bookman Old Style"/>
          <w:b/>
          <w:i/>
          <w:iCs/>
          <w:sz w:val="28"/>
          <w:szCs w:val="28"/>
          <w:lang w:eastAsia="en-US"/>
        </w:rPr>
      </w:pPr>
    </w:p>
    <w:p w:rsidR="00EB320A" w:rsidRDefault="00EB320A" w:rsidP="00EB320A">
      <w:pPr>
        <w:autoSpaceDE w:val="0"/>
        <w:adjustRightInd w:val="0"/>
        <w:jc w:val="center"/>
        <w:rPr>
          <w:rFonts w:ascii="Bookman Old Style" w:hAnsi="Bookman Old Style" w:cs="Bookman Old Style"/>
          <w:b/>
          <w:i/>
          <w:iCs/>
          <w:sz w:val="28"/>
          <w:szCs w:val="28"/>
          <w:lang w:eastAsia="en-US"/>
        </w:rPr>
      </w:pPr>
    </w:p>
    <w:p w:rsidR="00EB320A" w:rsidRPr="00EB320A" w:rsidRDefault="00EB320A" w:rsidP="00EB320A">
      <w:pPr>
        <w:autoSpaceDE w:val="0"/>
        <w:adjustRightInd w:val="0"/>
        <w:jc w:val="both"/>
        <w:rPr>
          <w:rFonts w:ascii="Bookman Old Style" w:hAnsi="Bookman Old Style" w:cs="Bookman Old Style"/>
          <w:b/>
          <w:i/>
          <w:iCs/>
          <w:sz w:val="28"/>
          <w:szCs w:val="28"/>
          <w:lang w:eastAsia="en-US"/>
        </w:rPr>
      </w:pPr>
      <w:r w:rsidRPr="00EB320A">
        <w:rPr>
          <w:rFonts w:ascii="Bookman Old Style" w:hAnsi="Bookman Old Style" w:cs="Bookman Old Style"/>
          <w:b/>
          <w:i/>
          <w:iCs/>
          <w:sz w:val="28"/>
          <w:szCs w:val="28"/>
          <w:lang w:eastAsia="en-US"/>
        </w:rPr>
        <w:t>Financiación del Consorcio de Segu</w:t>
      </w:r>
      <w:r w:rsidR="00590D35">
        <w:rPr>
          <w:rFonts w:ascii="Bookman Old Style" w:hAnsi="Bookman Old Style" w:cs="Bookman Old Style"/>
          <w:b/>
          <w:i/>
          <w:iCs/>
          <w:sz w:val="28"/>
          <w:szCs w:val="28"/>
          <w:lang w:eastAsia="en-US"/>
        </w:rPr>
        <w:t>r</w:t>
      </w:r>
      <w:r w:rsidRPr="00EB320A">
        <w:rPr>
          <w:rFonts w:ascii="Bookman Old Style" w:hAnsi="Bookman Old Style" w:cs="Bookman Old Style"/>
          <w:b/>
          <w:i/>
          <w:iCs/>
          <w:sz w:val="28"/>
          <w:szCs w:val="28"/>
          <w:lang w:eastAsia="en-US"/>
        </w:rPr>
        <w:t>idad y Emergencias</w:t>
      </w:r>
    </w:p>
    <w:p w:rsidR="00EB320A" w:rsidRDefault="00EB320A" w:rsidP="00EB320A">
      <w:pPr>
        <w:autoSpaceDE w:val="0"/>
        <w:adjustRightInd w:val="0"/>
        <w:jc w:val="both"/>
        <w:rPr>
          <w:rFonts w:ascii="Bookman Old Style" w:hAnsi="Bookman Old Style" w:cs="Bookman Old Style"/>
          <w:i/>
          <w:iCs/>
          <w:sz w:val="22"/>
          <w:szCs w:val="22"/>
          <w:lang w:eastAsia="en-US"/>
        </w:rPr>
      </w:pPr>
    </w:p>
    <w:p w:rsidR="00EB320A" w:rsidRDefault="00EB320A" w:rsidP="00EB320A">
      <w:pPr>
        <w:autoSpaceDE w:val="0"/>
        <w:adjustRightInd w:val="0"/>
        <w:jc w:val="both"/>
        <w:rPr>
          <w:rFonts w:ascii="Bookman Old Style" w:hAnsi="Bookman Old Style" w:cs="Bookman Old Style"/>
          <w:i/>
          <w:iCs/>
          <w:sz w:val="22"/>
          <w:szCs w:val="22"/>
          <w:lang w:eastAsia="en-US"/>
        </w:rPr>
      </w:pPr>
    </w:p>
    <w:p w:rsidR="00EB320A" w:rsidRPr="0095603D" w:rsidRDefault="00EB320A" w:rsidP="00EB320A">
      <w:pPr>
        <w:autoSpaceDE w:val="0"/>
        <w:adjustRightInd w:val="0"/>
        <w:jc w:val="both"/>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El estado de ingresos del presupuesto del Consorcio se nutrirá con los siguientes recursos:</w:t>
      </w:r>
    </w:p>
    <w:p w:rsidR="00EB320A" w:rsidRPr="0095603D" w:rsidRDefault="00EB320A" w:rsidP="00EB320A">
      <w:pPr>
        <w:autoSpaceDE w:val="0"/>
        <w:adjustRightInd w:val="0"/>
        <w:jc w:val="both"/>
        <w:rPr>
          <w:rFonts w:ascii="Bookman Old Style" w:hAnsi="Bookman Old Style" w:cs="Bookman Old Style"/>
          <w:i/>
          <w:iCs/>
          <w:sz w:val="22"/>
          <w:szCs w:val="22"/>
          <w:lang w:eastAsia="en-US"/>
        </w:rPr>
      </w:pPr>
    </w:p>
    <w:p w:rsidR="00EB320A" w:rsidRPr="0095603D" w:rsidRDefault="00EB320A" w:rsidP="00EB320A">
      <w:pPr>
        <w:widowControl/>
        <w:numPr>
          <w:ilvl w:val="0"/>
          <w:numId w:val="1"/>
        </w:numPr>
        <w:suppressAutoHyphens w:val="0"/>
        <w:autoSpaceDE w:val="0"/>
        <w:autoSpaceDN w:val="0"/>
        <w:adjustRightInd w:val="0"/>
        <w:spacing w:after="200" w:line="276" w:lineRule="auto"/>
        <w:jc w:val="both"/>
        <w:textAlignment w:val="auto"/>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 xml:space="preserve"> Aportación de las Instituciones consorciadas, en los términos siguiente:</w:t>
      </w:r>
    </w:p>
    <w:p w:rsidR="00EB320A" w:rsidRPr="0095603D" w:rsidRDefault="00EB320A" w:rsidP="00EB320A">
      <w:pPr>
        <w:autoSpaceDE w:val="0"/>
        <w:adjustRightInd w:val="0"/>
        <w:ind w:left="360"/>
        <w:jc w:val="both"/>
        <w:rPr>
          <w:rFonts w:ascii="Bookman Old Style" w:hAnsi="Bookman Old Style" w:cs="Bookman Old Style"/>
          <w:i/>
          <w:iCs/>
          <w:sz w:val="22"/>
          <w:szCs w:val="22"/>
          <w:lang w:eastAsia="en-US"/>
        </w:rPr>
      </w:pPr>
    </w:p>
    <w:p w:rsidR="00EB320A" w:rsidRPr="0095603D" w:rsidRDefault="00EB320A" w:rsidP="00EB320A">
      <w:pPr>
        <w:widowControl/>
        <w:numPr>
          <w:ilvl w:val="0"/>
          <w:numId w:val="2"/>
        </w:numPr>
        <w:suppressAutoHyphens w:val="0"/>
        <w:autoSpaceDE w:val="0"/>
        <w:autoSpaceDN w:val="0"/>
        <w:adjustRightInd w:val="0"/>
        <w:spacing w:after="200" w:line="276" w:lineRule="auto"/>
        <w:jc w:val="both"/>
        <w:textAlignment w:val="auto"/>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Excmo. Cabildo Insular de Lanzarote, un cincuenta por ciento (50%).</w:t>
      </w:r>
    </w:p>
    <w:p w:rsidR="00EB320A" w:rsidRPr="0095603D" w:rsidRDefault="00EB320A" w:rsidP="00EB320A">
      <w:pPr>
        <w:widowControl/>
        <w:numPr>
          <w:ilvl w:val="0"/>
          <w:numId w:val="2"/>
        </w:numPr>
        <w:suppressAutoHyphens w:val="0"/>
        <w:autoSpaceDE w:val="0"/>
        <w:autoSpaceDN w:val="0"/>
        <w:adjustRightInd w:val="0"/>
        <w:spacing w:after="200" w:line="276" w:lineRule="auto"/>
        <w:jc w:val="both"/>
        <w:textAlignment w:val="auto"/>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Administración Autonómica, un veinte por ciento (20%).</w:t>
      </w:r>
    </w:p>
    <w:p w:rsidR="00EB320A" w:rsidRPr="0095603D" w:rsidRDefault="00EB320A" w:rsidP="00EB320A">
      <w:pPr>
        <w:widowControl/>
        <w:numPr>
          <w:ilvl w:val="0"/>
          <w:numId w:val="2"/>
        </w:numPr>
        <w:suppressAutoHyphens w:val="0"/>
        <w:autoSpaceDE w:val="0"/>
        <w:autoSpaceDN w:val="0"/>
        <w:adjustRightInd w:val="0"/>
        <w:spacing w:after="200" w:line="276" w:lineRule="auto"/>
        <w:jc w:val="both"/>
        <w:textAlignment w:val="auto"/>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 xml:space="preserve">Ayuntamiento de Arrecife, (10,48%). </w:t>
      </w:r>
    </w:p>
    <w:p w:rsidR="00EB320A" w:rsidRPr="0095603D" w:rsidRDefault="00EB320A" w:rsidP="00EB320A">
      <w:pPr>
        <w:widowControl/>
        <w:numPr>
          <w:ilvl w:val="0"/>
          <w:numId w:val="2"/>
        </w:numPr>
        <w:suppressAutoHyphens w:val="0"/>
        <w:autoSpaceDE w:val="0"/>
        <w:autoSpaceDN w:val="0"/>
        <w:adjustRightInd w:val="0"/>
        <w:spacing w:after="200" w:line="276" w:lineRule="auto"/>
        <w:jc w:val="both"/>
        <w:textAlignment w:val="auto"/>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Ayuntamiento de Haría, (1,10%).</w:t>
      </w:r>
    </w:p>
    <w:p w:rsidR="00EB320A" w:rsidRPr="0095603D" w:rsidRDefault="00EB320A" w:rsidP="00EB320A">
      <w:pPr>
        <w:widowControl/>
        <w:numPr>
          <w:ilvl w:val="0"/>
          <w:numId w:val="2"/>
        </w:numPr>
        <w:suppressAutoHyphens w:val="0"/>
        <w:autoSpaceDE w:val="0"/>
        <w:autoSpaceDN w:val="0"/>
        <w:adjustRightInd w:val="0"/>
        <w:spacing w:after="200" w:line="276" w:lineRule="auto"/>
        <w:jc w:val="both"/>
        <w:textAlignment w:val="auto"/>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Ayuntamiento de San Bartolomé, (3,39%).</w:t>
      </w:r>
    </w:p>
    <w:p w:rsidR="00EB320A" w:rsidRPr="0095603D" w:rsidRDefault="00EB320A" w:rsidP="00EB320A">
      <w:pPr>
        <w:widowControl/>
        <w:numPr>
          <w:ilvl w:val="0"/>
          <w:numId w:val="2"/>
        </w:numPr>
        <w:suppressAutoHyphens w:val="0"/>
        <w:autoSpaceDE w:val="0"/>
        <w:autoSpaceDN w:val="0"/>
        <w:adjustRightInd w:val="0"/>
        <w:spacing w:after="200" w:line="276" w:lineRule="auto"/>
        <w:jc w:val="both"/>
        <w:textAlignment w:val="auto"/>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 xml:space="preserve">Ayuntamiento de </w:t>
      </w:r>
      <w:proofErr w:type="spellStart"/>
      <w:r w:rsidRPr="0095603D">
        <w:rPr>
          <w:rFonts w:ascii="Bookman Old Style" w:hAnsi="Bookman Old Style" w:cs="Bookman Old Style"/>
          <w:i/>
          <w:iCs/>
          <w:sz w:val="22"/>
          <w:szCs w:val="22"/>
          <w:lang w:eastAsia="en-US"/>
        </w:rPr>
        <w:t>Teguise</w:t>
      </w:r>
      <w:proofErr w:type="spellEnd"/>
      <w:r w:rsidRPr="0095603D">
        <w:rPr>
          <w:rFonts w:ascii="Bookman Old Style" w:hAnsi="Bookman Old Style" w:cs="Bookman Old Style"/>
          <w:i/>
          <w:iCs/>
          <w:sz w:val="22"/>
          <w:szCs w:val="22"/>
          <w:lang w:eastAsia="en-US"/>
        </w:rPr>
        <w:t>, (4,39%).</w:t>
      </w:r>
    </w:p>
    <w:p w:rsidR="00EB320A" w:rsidRPr="0095603D" w:rsidRDefault="00EB320A" w:rsidP="00EB320A">
      <w:pPr>
        <w:widowControl/>
        <w:numPr>
          <w:ilvl w:val="0"/>
          <w:numId w:val="2"/>
        </w:numPr>
        <w:suppressAutoHyphens w:val="0"/>
        <w:autoSpaceDE w:val="0"/>
        <w:autoSpaceDN w:val="0"/>
        <w:adjustRightInd w:val="0"/>
        <w:spacing w:after="200" w:line="276" w:lineRule="auto"/>
        <w:jc w:val="both"/>
        <w:textAlignment w:val="auto"/>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Ayuntamiento de Tías, (6,19%).</w:t>
      </w:r>
    </w:p>
    <w:p w:rsidR="00EB320A" w:rsidRPr="0095603D" w:rsidRDefault="00EB320A" w:rsidP="00EB320A">
      <w:pPr>
        <w:widowControl/>
        <w:numPr>
          <w:ilvl w:val="0"/>
          <w:numId w:val="2"/>
        </w:numPr>
        <w:suppressAutoHyphens w:val="0"/>
        <w:autoSpaceDE w:val="0"/>
        <w:autoSpaceDN w:val="0"/>
        <w:adjustRightInd w:val="0"/>
        <w:spacing w:after="200" w:line="276" w:lineRule="auto"/>
        <w:jc w:val="both"/>
        <w:textAlignment w:val="auto"/>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 xml:space="preserve">Ayuntamiento de </w:t>
      </w:r>
      <w:proofErr w:type="spellStart"/>
      <w:r w:rsidRPr="0095603D">
        <w:rPr>
          <w:rFonts w:ascii="Bookman Old Style" w:hAnsi="Bookman Old Style" w:cs="Bookman Old Style"/>
          <w:i/>
          <w:iCs/>
          <w:sz w:val="22"/>
          <w:szCs w:val="22"/>
          <w:lang w:eastAsia="en-US"/>
        </w:rPr>
        <w:t>Tinajo</w:t>
      </w:r>
      <w:proofErr w:type="spellEnd"/>
      <w:r w:rsidRPr="0095603D">
        <w:rPr>
          <w:rFonts w:ascii="Bookman Old Style" w:hAnsi="Bookman Old Style" w:cs="Bookman Old Style"/>
          <w:i/>
          <w:iCs/>
          <w:sz w:val="22"/>
          <w:szCs w:val="22"/>
          <w:lang w:eastAsia="en-US"/>
        </w:rPr>
        <w:t>, (1,13%).</w:t>
      </w:r>
    </w:p>
    <w:p w:rsidR="00EB320A" w:rsidRPr="0095603D" w:rsidRDefault="00EB320A" w:rsidP="00EB320A">
      <w:pPr>
        <w:widowControl/>
        <w:numPr>
          <w:ilvl w:val="0"/>
          <w:numId w:val="2"/>
        </w:numPr>
        <w:suppressAutoHyphens w:val="0"/>
        <w:autoSpaceDE w:val="0"/>
        <w:autoSpaceDN w:val="0"/>
        <w:adjustRightInd w:val="0"/>
        <w:spacing w:after="200" w:line="276" w:lineRule="auto"/>
        <w:jc w:val="both"/>
        <w:textAlignment w:val="auto"/>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 xml:space="preserve">Ayuntamiento de </w:t>
      </w:r>
      <w:proofErr w:type="spellStart"/>
      <w:r w:rsidRPr="0095603D">
        <w:rPr>
          <w:rFonts w:ascii="Bookman Old Style" w:hAnsi="Bookman Old Style" w:cs="Bookman Old Style"/>
          <w:i/>
          <w:iCs/>
          <w:sz w:val="22"/>
          <w:szCs w:val="22"/>
          <w:lang w:eastAsia="en-US"/>
        </w:rPr>
        <w:t>Yaiza</w:t>
      </w:r>
      <w:proofErr w:type="spellEnd"/>
      <w:r w:rsidRPr="0095603D">
        <w:rPr>
          <w:rFonts w:ascii="Bookman Old Style" w:hAnsi="Bookman Old Style" w:cs="Bookman Old Style"/>
          <w:i/>
          <w:iCs/>
          <w:sz w:val="22"/>
          <w:szCs w:val="22"/>
          <w:lang w:eastAsia="en-US"/>
        </w:rPr>
        <w:t>, (3,32%).</w:t>
      </w:r>
    </w:p>
    <w:p w:rsidR="00EB320A" w:rsidRPr="0095603D" w:rsidRDefault="00EB320A" w:rsidP="00EB320A">
      <w:pPr>
        <w:autoSpaceDE w:val="0"/>
        <w:adjustRightInd w:val="0"/>
        <w:ind w:left="1080"/>
        <w:jc w:val="both"/>
        <w:rPr>
          <w:rFonts w:ascii="Bookman Old Style" w:hAnsi="Bookman Old Style" w:cs="Bookman Old Style"/>
          <w:i/>
          <w:iCs/>
          <w:sz w:val="22"/>
          <w:szCs w:val="22"/>
          <w:lang w:eastAsia="en-US"/>
        </w:rPr>
      </w:pPr>
    </w:p>
    <w:p w:rsidR="00EB320A" w:rsidRPr="0095603D" w:rsidRDefault="00EB320A" w:rsidP="00EB320A">
      <w:pPr>
        <w:autoSpaceDE w:val="0"/>
        <w:adjustRightInd w:val="0"/>
        <w:jc w:val="both"/>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 xml:space="preserve">La parte correspondiente de la cantidad consignada en los presupuestos de cada ente consorciado se ingresará por anticipado cada tres meses, en la Tesorería del consorcio dentro de los (10) primeros días de cada período. </w:t>
      </w:r>
    </w:p>
    <w:p w:rsidR="00EB320A" w:rsidRPr="0095603D" w:rsidRDefault="00EB320A" w:rsidP="00EB320A">
      <w:pPr>
        <w:autoSpaceDE w:val="0"/>
        <w:adjustRightInd w:val="0"/>
        <w:jc w:val="both"/>
        <w:rPr>
          <w:rFonts w:ascii="Bookman Old Style" w:hAnsi="Bookman Old Style" w:cs="Bookman Old Style"/>
          <w:i/>
          <w:iCs/>
          <w:sz w:val="22"/>
          <w:szCs w:val="22"/>
          <w:lang w:eastAsia="en-US"/>
        </w:rPr>
      </w:pPr>
    </w:p>
    <w:p w:rsidR="00EB320A" w:rsidRPr="0095603D" w:rsidRDefault="00EB320A" w:rsidP="00EB320A">
      <w:pPr>
        <w:widowControl/>
        <w:numPr>
          <w:ilvl w:val="0"/>
          <w:numId w:val="1"/>
        </w:numPr>
        <w:suppressAutoHyphens w:val="0"/>
        <w:autoSpaceDE w:val="0"/>
        <w:autoSpaceDN w:val="0"/>
        <w:adjustRightInd w:val="0"/>
        <w:spacing w:after="200" w:line="276" w:lineRule="auto"/>
        <w:jc w:val="both"/>
        <w:textAlignment w:val="auto"/>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 xml:space="preserve">Las transferencias y otros ingresos de derecho público. </w:t>
      </w:r>
    </w:p>
    <w:p w:rsidR="00EB320A" w:rsidRPr="0095603D" w:rsidRDefault="00EB320A" w:rsidP="00EB320A">
      <w:pPr>
        <w:autoSpaceDE w:val="0"/>
        <w:adjustRightInd w:val="0"/>
        <w:ind w:left="360"/>
        <w:jc w:val="both"/>
        <w:rPr>
          <w:rFonts w:ascii="Bookman Old Style" w:hAnsi="Bookman Old Style" w:cs="Bookman Old Style"/>
          <w:i/>
          <w:iCs/>
          <w:sz w:val="22"/>
          <w:szCs w:val="22"/>
          <w:lang w:eastAsia="en-US"/>
        </w:rPr>
      </w:pPr>
    </w:p>
    <w:p w:rsidR="00EB320A" w:rsidRPr="0095603D" w:rsidRDefault="00EB320A" w:rsidP="00EB320A">
      <w:pPr>
        <w:widowControl/>
        <w:numPr>
          <w:ilvl w:val="0"/>
          <w:numId w:val="1"/>
        </w:numPr>
        <w:suppressAutoHyphens w:val="0"/>
        <w:autoSpaceDE w:val="0"/>
        <w:autoSpaceDN w:val="0"/>
        <w:adjustRightInd w:val="0"/>
        <w:spacing w:after="200" w:line="276" w:lineRule="auto"/>
        <w:jc w:val="both"/>
        <w:textAlignment w:val="auto"/>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 xml:space="preserve">Las tasas, contribuciones especiales y precios públicos fijados de acuerdo con la ley. </w:t>
      </w:r>
    </w:p>
    <w:p w:rsidR="00EB320A" w:rsidRPr="0095603D" w:rsidRDefault="00EB320A" w:rsidP="00EB320A">
      <w:pPr>
        <w:spacing w:after="200" w:line="276" w:lineRule="auto"/>
        <w:ind w:left="720"/>
        <w:jc w:val="both"/>
        <w:rPr>
          <w:rFonts w:ascii="Bookman Old Style" w:hAnsi="Bookman Old Style" w:cs="Bookman Old Style"/>
          <w:i/>
          <w:iCs/>
          <w:sz w:val="22"/>
          <w:szCs w:val="22"/>
          <w:lang w:eastAsia="en-US"/>
        </w:rPr>
      </w:pPr>
    </w:p>
    <w:p w:rsidR="00EB320A" w:rsidRPr="0095603D" w:rsidRDefault="00EB320A" w:rsidP="00EB320A">
      <w:pPr>
        <w:widowControl/>
        <w:numPr>
          <w:ilvl w:val="0"/>
          <w:numId w:val="1"/>
        </w:numPr>
        <w:suppressAutoHyphens w:val="0"/>
        <w:autoSpaceDE w:val="0"/>
        <w:autoSpaceDN w:val="0"/>
        <w:adjustRightInd w:val="0"/>
        <w:spacing w:after="200" w:line="276" w:lineRule="auto"/>
        <w:jc w:val="both"/>
        <w:textAlignment w:val="auto"/>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 xml:space="preserve">Ingresos propios y los bienes adquiridos por el Consorcio que se integra en su patrimonio. </w:t>
      </w:r>
    </w:p>
    <w:p w:rsidR="00EB320A" w:rsidRPr="0095603D" w:rsidRDefault="00EB320A" w:rsidP="00EB320A">
      <w:pPr>
        <w:spacing w:after="200" w:line="276" w:lineRule="auto"/>
        <w:ind w:left="720"/>
        <w:jc w:val="both"/>
        <w:rPr>
          <w:rFonts w:ascii="Bookman Old Style" w:hAnsi="Bookman Old Style" w:cs="Bookman Old Style"/>
          <w:i/>
          <w:iCs/>
          <w:sz w:val="22"/>
          <w:szCs w:val="22"/>
          <w:lang w:eastAsia="en-US"/>
        </w:rPr>
      </w:pPr>
    </w:p>
    <w:p w:rsidR="00EB320A" w:rsidRPr="0095603D" w:rsidRDefault="00EB320A" w:rsidP="00EB320A">
      <w:pPr>
        <w:widowControl/>
        <w:numPr>
          <w:ilvl w:val="0"/>
          <w:numId w:val="1"/>
        </w:numPr>
        <w:suppressAutoHyphens w:val="0"/>
        <w:autoSpaceDE w:val="0"/>
        <w:autoSpaceDN w:val="0"/>
        <w:adjustRightInd w:val="0"/>
        <w:spacing w:after="200" w:line="276" w:lineRule="auto"/>
        <w:jc w:val="both"/>
        <w:textAlignment w:val="auto"/>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 xml:space="preserve">El producto de operaciones de crédito. </w:t>
      </w:r>
    </w:p>
    <w:p w:rsidR="00EB320A" w:rsidRPr="0095603D" w:rsidRDefault="00EB320A" w:rsidP="00EB320A">
      <w:pPr>
        <w:spacing w:after="200" w:line="276" w:lineRule="auto"/>
        <w:ind w:left="720"/>
        <w:jc w:val="both"/>
        <w:rPr>
          <w:rFonts w:ascii="Bookman Old Style" w:hAnsi="Bookman Old Style" w:cs="Bookman Old Style"/>
          <w:i/>
          <w:iCs/>
          <w:sz w:val="22"/>
          <w:szCs w:val="22"/>
          <w:lang w:eastAsia="en-US"/>
        </w:rPr>
      </w:pPr>
    </w:p>
    <w:p w:rsidR="00EB320A" w:rsidRPr="0095603D" w:rsidRDefault="00EB320A" w:rsidP="00EB320A">
      <w:pPr>
        <w:widowControl/>
        <w:numPr>
          <w:ilvl w:val="0"/>
          <w:numId w:val="1"/>
        </w:numPr>
        <w:suppressAutoHyphens w:val="0"/>
        <w:autoSpaceDE w:val="0"/>
        <w:autoSpaceDN w:val="0"/>
        <w:adjustRightInd w:val="0"/>
        <w:spacing w:after="200" w:line="276" w:lineRule="auto"/>
        <w:jc w:val="both"/>
        <w:textAlignment w:val="auto"/>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Cualquier otro recurso que haya podido serle atribuido de acuerdo con la legislación vigente.</w:t>
      </w:r>
    </w:p>
    <w:p w:rsidR="00EB320A" w:rsidRPr="0095603D" w:rsidRDefault="00EB320A" w:rsidP="00EB320A">
      <w:pPr>
        <w:spacing w:after="200" w:line="276" w:lineRule="auto"/>
        <w:ind w:left="720"/>
        <w:jc w:val="both"/>
        <w:rPr>
          <w:rFonts w:ascii="Bookman Old Style" w:hAnsi="Bookman Old Style" w:cs="Bookman Old Style"/>
          <w:i/>
          <w:iCs/>
          <w:sz w:val="22"/>
          <w:szCs w:val="22"/>
          <w:lang w:eastAsia="en-US"/>
        </w:rPr>
      </w:pPr>
    </w:p>
    <w:p w:rsidR="00EB320A" w:rsidRPr="0095603D" w:rsidRDefault="00EB320A" w:rsidP="00EB320A">
      <w:pPr>
        <w:autoSpaceDE w:val="0"/>
        <w:adjustRightInd w:val="0"/>
        <w:jc w:val="both"/>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 xml:space="preserve">Los porcentajes de aportación de los entes consorciados descritos en el apartado 1) de este artículo se aplicarán sobre la parte del estado de gastos del presupuesto que no puedan cubrirse con el resto de los ingresos especificados en los apartados anteriores. </w:t>
      </w:r>
    </w:p>
    <w:p w:rsidR="00EB320A" w:rsidRPr="0095603D" w:rsidRDefault="00EB320A" w:rsidP="00EB320A">
      <w:pPr>
        <w:autoSpaceDE w:val="0"/>
        <w:adjustRightInd w:val="0"/>
        <w:jc w:val="both"/>
        <w:rPr>
          <w:rFonts w:ascii="Bookman Old Style" w:hAnsi="Bookman Old Style" w:cs="Bookman Old Style"/>
          <w:i/>
          <w:iCs/>
          <w:sz w:val="22"/>
          <w:szCs w:val="22"/>
          <w:lang w:eastAsia="en-US"/>
        </w:rPr>
      </w:pPr>
    </w:p>
    <w:p w:rsidR="00EB320A" w:rsidRPr="0095603D" w:rsidRDefault="00EB320A" w:rsidP="00EB320A">
      <w:pPr>
        <w:autoSpaceDE w:val="0"/>
        <w:adjustRightInd w:val="0"/>
        <w:jc w:val="both"/>
        <w:rPr>
          <w:rFonts w:ascii="Bookman Old Style" w:hAnsi="Bookman Old Style" w:cs="Bookman Old Style"/>
          <w:i/>
          <w:iCs/>
          <w:color w:val="000000"/>
          <w:sz w:val="22"/>
          <w:szCs w:val="22"/>
          <w:lang w:eastAsia="en-US"/>
        </w:rPr>
      </w:pPr>
      <w:r w:rsidRPr="0095603D">
        <w:rPr>
          <w:rFonts w:ascii="Bookman Old Style" w:hAnsi="Bookman Old Style" w:cs="Bookman Old Style"/>
          <w:i/>
          <w:iCs/>
          <w:color w:val="000000"/>
          <w:sz w:val="22"/>
          <w:szCs w:val="22"/>
          <w:lang w:eastAsia="en-US"/>
        </w:rPr>
        <w:t>Los entes municipales consorciados autorizan al Consorcio para que se dirija al Excmo. Cabildo Insular de Lanzarote a los efectos de que se detraigan de los ingresos que correspondan a cada uno de ellos provenientes de régimen económico-fiscal, las cantidades suficientes para cubrir, en caso de impago en periodo voluntario, la parte que a cada ente le corresponda en el mantenimiento del servicio.</w:t>
      </w:r>
    </w:p>
    <w:p w:rsidR="00EB320A" w:rsidRPr="0095603D" w:rsidRDefault="00EB320A" w:rsidP="00EB320A">
      <w:pPr>
        <w:autoSpaceDE w:val="0"/>
        <w:adjustRightInd w:val="0"/>
        <w:jc w:val="both"/>
        <w:rPr>
          <w:rFonts w:ascii="Bookman Old Style" w:hAnsi="Bookman Old Style" w:cs="Bookman Old Style"/>
          <w:i/>
          <w:iCs/>
          <w:color w:val="000000"/>
          <w:sz w:val="22"/>
          <w:szCs w:val="22"/>
          <w:lang w:eastAsia="en-US"/>
        </w:rPr>
      </w:pPr>
    </w:p>
    <w:p w:rsidR="00EB320A" w:rsidRPr="0095603D" w:rsidRDefault="00EB320A" w:rsidP="00EB320A">
      <w:pPr>
        <w:autoSpaceDE w:val="0"/>
        <w:adjustRightInd w:val="0"/>
        <w:jc w:val="both"/>
        <w:rPr>
          <w:rFonts w:ascii="Bookman Old Style" w:hAnsi="Bookman Old Style" w:cs="Bookman Old Style"/>
          <w:i/>
          <w:iCs/>
          <w:color w:val="000000"/>
          <w:sz w:val="22"/>
          <w:szCs w:val="22"/>
          <w:lang w:eastAsia="en-US"/>
        </w:rPr>
      </w:pPr>
      <w:r w:rsidRPr="0095603D">
        <w:rPr>
          <w:rFonts w:ascii="Bookman Old Style" w:hAnsi="Bookman Old Style" w:cs="Bookman Old Style"/>
          <w:i/>
          <w:iCs/>
          <w:color w:val="000000"/>
          <w:sz w:val="22"/>
          <w:szCs w:val="22"/>
          <w:lang w:eastAsia="en-US"/>
        </w:rPr>
        <w:t xml:space="preserve">Asimismo, autorizan expresamente al Excmo. Cabildo Insular de Lanzarote para proceder a las detracciones correspondientes. </w:t>
      </w:r>
    </w:p>
    <w:p w:rsidR="00EB320A" w:rsidRPr="0095603D" w:rsidRDefault="00EB320A" w:rsidP="00EB320A">
      <w:pPr>
        <w:autoSpaceDE w:val="0"/>
        <w:adjustRightInd w:val="0"/>
        <w:jc w:val="both"/>
        <w:rPr>
          <w:rFonts w:ascii="Bookman Old Style" w:hAnsi="Bookman Old Style" w:cs="Bookman Old Style"/>
          <w:i/>
          <w:iCs/>
          <w:strike/>
          <w:sz w:val="22"/>
          <w:szCs w:val="22"/>
          <w:lang w:eastAsia="en-US"/>
        </w:rPr>
      </w:pPr>
    </w:p>
    <w:p w:rsidR="00EB320A" w:rsidRPr="0095603D" w:rsidRDefault="00EB320A" w:rsidP="00EB320A">
      <w:pPr>
        <w:autoSpaceDE w:val="0"/>
        <w:adjustRightInd w:val="0"/>
        <w:jc w:val="both"/>
        <w:rPr>
          <w:rFonts w:ascii="Bookman Old Style" w:hAnsi="Bookman Old Style" w:cs="Bookman Old Style"/>
          <w:i/>
          <w:iCs/>
          <w:strike/>
          <w:color w:val="FF0000"/>
          <w:sz w:val="22"/>
          <w:szCs w:val="22"/>
          <w:lang w:eastAsia="en-US"/>
        </w:rPr>
      </w:pPr>
      <w:r w:rsidRPr="0095603D">
        <w:rPr>
          <w:rFonts w:ascii="Bookman Old Style" w:hAnsi="Bookman Old Style" w:cs="Bookman Old Style"/>
          <w:i/>
          <w:iCs/>
          <w:sz w:val="22"/>
          <w:szCs w:val="22"/>
          <w:lang w:eastAsia="en-US"/>
        </w:rPr>
        <w:t xml:space="preserve">Por lo que se refiere al porcentaje de participación de la Administración autonómica, habrá que tenerse en cuenta la previsión contenida en el artículo 13.6 de la Ley 4/2012, de 25 de junio, de Medidas administrativas y fiscales, que expresamente determina que “el crédito que aporte la Administración de la Comunidad Autónoma de Canarias será la que se fije en la Ley anual de Presupuestos” </w:t>
      </w:r>
    </w:p>
    <w:p w:rsidR="00EB320A" w:rsidRPr="0095603D" w:rsidRDefault="00EB320A" w:rsidP="00EB320A">
      <w:pPr>
        <w:autoSpaceDE w:val="0"/>
        <w:adjustRightInd w:val="0"/>
        <w:jc w:val="both"/>
        <w:rPr>
          <w:rFonts w:ascii="Bookman Old Style" w:hAnsi="Bookman Old Style" w:cs="Bookman Old Style"/>
          <w:i/>
          <w:iCs/>
          <w:strike/>
          <w:color w:val="FF0000"/>
          <w:sz w:val="22"/>
          <w:szCs w:val="22"/>
          <w:lang w:eastAsia="en-US"/>
        </w:rPr>
      </w:pPr>
    </w:p>
    <w:p w:rsidR="00EB320A" w:rsidRPr="0095603D" w:rsidRDefault="00EB320A" w:rsidP="00EB320A">
      <w:pPr>
        <w:autoSpaceDE w:val="0"/>
        <w:adjustRightInd w:val="0"/>
        <w:jc w:val="both"/>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 xml:space="preserve">Artículo 27 bis.- Coste efectivo de los servicios.  </w:t>
      </w:r>
    </w:p>
    <w:p w:rsidR="00EB320A" w:rsidRPr="0095603D" w:rsidRDefault="00EB320A" w:rsidP="00EB320A">
      <w:pPr>
        <w:autoSpaceDE w:val="0"/>
        <w:adjustRightInd w:val="0"/>
        <w:jc w:val="both"/>
        <w:rPr>
          <w:rFonts w:ascii="Bookman Old Style" w:hAnsi="Bookman Old Style" w:cs="Bookman Old Style"/>
          <w:i/>
          <w:iCs/>
          <w:sz w:val="22"/>
          <w:szCs w:val="22"/>
          <w:lang w:eastAsia="en-US"/>
        </w:rPr>
      </w:pPr>
    </w:p>
    <w:p w:rsidR="00EB320A" w:rsidRPr="0095603D" w:rsidRDefault="00EB320A" w:rsidP="00EB320A">
      <w:pPr>
        <w:autoSpaceDE w:val="0"/>
        <w:adjustRightInd w:val="0"/>
        <w:jc w:val="both"/>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De conformidad con lo previsto en el artículo 116 ter de la LBRL, introducido por el artículo primero, apartado treinta y uno de la LRSAL, antes del 1 de noviembre de cada año deberá calcularse el coste efectivo de los servicios que presta el Consorcio, partiendo de los datos contenidos en la liquidación del presupuesto general y en su caso, de las cuentas anuales aprobadas de las entidades vinculadas o dependientes, correspondientes al ejercicio inmediato anterior.</w:t>
      </w:r>
    </w:p>
    <w:p w:rsidR="00EB320A" w:rsidRPr="0095603D" w:rsidRDefault="00EB320A" w:rsidP="00EB320A">
      <w:pPr>
        <w:autoSpaceDE w:val="0"/>
        <w:adjustRightInd w:val="0"/>
        <w:jc w:val="both"/>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 xml:space="preserve">El cálculo del coste efectivo de los servicios tendrá en cuenta los costes reales directos e indirectos de los servicios conforme a los datos de ejecución de gastos mencionados en el apartado anterior. </w:t>
      </w:r>
    </w:p>
    <w:p w:rsidR="00EB320A" w:rsidRPr="0095603D" w:rsidRDefault="00EB320A" w:rsidP="00EB320A">
      <w:pPr>
        <w:autoSpaceDE w:val="0"/>
        <w:adjustRightInd w:val="0"/>
        <w:jc w:val="both"/>
        <w:rPr>
          <w:rFonts w:ascii="Bookman Old Style" w:hAnsi="Bookman Old Style" w:cs="Bookman Old Style"/>
          <w:i/>
          <w:iCs/>
          <w:sz w:val="22"/>
          <w:szCs w:val="22"/>
          <w:lang w:eastAsia="en-US"/>
        </w:rPr>
      </w:pPr>
      <w:r w:rsidRPr="0095603D">
        <w:rPr>
          <w:rFonts w:ascii="Bookman Old Style" w:hAnsi="Bookman Old Style" w:cs="Bookman Old Style"/>
          <w:i/>
          <w:iCs/>
          <w:sz w:val="22"/>
          <w:szCs w:val="22"/>
          <w:lang w:eastAsia="en-US"/>
        </w:rPr>
        <w:t xml:space="preserve">Dichos costes efectivos se comunicarán al Ministerio de Hacienda y Administraciones Públicas para su publicación. </w:t>
      </w:r>
    </w:p>
    <w:p w:rsidR="00E128C7" w:rsidRPr="00A41C85" w:rsidRDefault="00E128C7" w:rsidP="00EB320A">
      <w:pPr>
        <w:jc w:val="both"/>
      </w:pPr>
    </w:p>
    <w:sectPr w:rsidR="00E128C7" w:rsidRPr="00A41C85" w:rsidSect="00E128C7">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D5F" w:rsidRDefault="00BE7D5F" w:rsidP="00EB320A">
      <w:r>
        <w:separator/>
      </w:r>
    </w:p>
  </w:endnote>
  <w:endnote w:type="continuationSeparator" w:id="0">
    <w:p w:rsidR="00BE7D5F" w:rsidRDefault="00BE7D5F" w:rsidP="00EB3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D5F" w:rsidRDefault="00BE7D5F" w:rsidP="00EB320A">
      <w:r>
        <w:separator/>
      </w:r>
    </w:p>
  </w:footnote>
  <w:footnote w:type="continuationSeparator" w:id="0">
    <w:p w:rsidR="00BE7D5F" w:rsidRDefault="00BE7D5F" w:rsidP="00EB3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0A" w:rsidRDefault="00EB320A">
    <w:pPr>
      <w:pStyle w:val="Encabezado"/>
    </w:pPr>
    <w:r w:rsidRPr="00EB320A">
      <w:drawing>
        <wp:anchor distT="0" distB="0" distL="114300" distR="114300" simplePos="0" relativeHeight="251659264" behindDoc="0" locked="0" layoutInCell="1" allowOverlap="1">
          <wp:simplePos x="0" y="0"/>
          <wp:positionH relativeFrom="column">
            <wp:posOffset>129762</wp:posOffset>
          </wp:positionH>
          <wp:positionV relativeFrom="paragraph">
            <wp:posOffset>18253</wp:posOffset>
          </wp:positionV>
          <wp:extent cx="4180810" cy="1233376"/>
          <wp:effectExtent l="19050" t="0" r="0" b="0"/>
          <wp:wrapTopAndBottom/>
          <wp:docPr id="2" name="gráfic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2"/>
                  <pic:cNvPicPr>
                    <a:picLocks noChangeAspect="1" noChangeArrowheads="1"/>
                  </pic:cNvPicPr>
                </pic:nvPicPr>
                <pic:blipFill>
                  <a:blip r:embed="rId1" cstate="print"/>
                  <a:srcRect/>
                  <a:stretch>
                    <a:fillRect/>
                  </a:stretch>
                </pic:blipFill>
                <pic:spPr bwMode="auto">
                  <a:xfrm>
                    <a:off x="0" y="0"/>
                    <a:ext cx="4180205" cy="123317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4340"/>
    <w:multiLevelType w:val="hybridMultilevel"/>
    <w:tmpl w:val="692656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4FD14E6"/>
    <w:multiLevelType w:val="hybridMultilevel"/>
    <w:tmpl w:val="C0E81938"/>
    <w:lvl w:ilvl="0" w:tplc="0000000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footnotePr>
    <w:footnote w:id="-1"/>
    <w:footnote w:id="0"/>
  </w:footnotePr>
  <w:endnotePr>
    <w:endnote w:id="-1"/>
    <w:endnote w:id="0"/>
  </w:endnotePr>
  <w:compat/>
  <w:rsids>
    <w:rsidRoot w:val="00A41C85"/>
    <w:rsid w:val="00590D35"/>
    <w:rsid w:val="00A41C85"/>
    <w:rsid w:val="00BE7D5F"/>
    <w:rsid w:val="00E128C7"/>
    <w:rsid w:val="00EB32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20A"/>
    <w:pPr>
      <w:widowControl w:val="0"/>
      <w:suppressAutoHyphens/>
      <w:spacing w:after="0" w:line="240" w:lineRule="auto"/>
      <w:textAlignment w:val="baseline"/>
    </w:pPr>
    <w:rPr>
      <w:rFonts w:ascii="Times New Roman" w:eastAsia="Arial Unicode MS" w:hAnsi="Times New Roman" w:cs="Arial Unicode MS"/>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B320A"/>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semiHidden/>
    <w:rsid w:val="00EB320A"/>
    <w:rPr>
      <w:rFonts w:ascii="Times New Roman" w:eastAsia="Arial Unicode MS" w:hAnsi="Times New Roman" w:cs="Mangal"/>
      <w:kern w:val="1"/>
      <w:sz w:val="24"/>
      <w:szCs w:val="21"/>
      <w:lang w:eastAsia="hi-IN" w:bidi="hi-IN"/>
    </w:rPr>
  </w:style>
  <w:style w:type="paragraph" w:styleId="Piedepgina">
    <w:name w:val="footer"/>
    <w:basedOn w:val="Normal"/>
    <w:link w:val="PiedepginaCar"/>
    <w:uiPriority w:val="99"/>
    <w:semiHidden/>
    <w:unhideWhenUsed/>
    <w:rsid w:val="00EB320A"/>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semiHidden/>
    <w:rsid w:val="00EB320A"/>
    <w:rPr>
      <w:rFonts w:ascii="Times New Roman" w:eastAsia="Arial Unicode MS"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494</Words>
  <Characters>2721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lhernandez</dc:creator>
  <cp:lastModifiedBy>lhernandez</cp:lastModifiedBy>
  <cp:revision>1</cp:revision>
  <dcterms:created xsi:type="dcterms:W3CDTF">2019-05-24T10:44:00Z</dcterms:created>
  <dcterms:modified xsi:type="dcterms:W3CDTF">2019-05-24T11:57:00Z</dcterms:modified>
</cp:coreProperties>
</file>