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8CF" w14:textId="77777777" w:rsidR="003345C8" w:rsidRDefault="00143BC8">
      <w:pPr>
        <w:jc w:val="center"/>
        <w:rPr>
          <w:b/>
          <w:bCs/>
        </w:rPr>
      </w:pPr>
      <w:r>
        <w:rPr>
          <w:b/>
          <w:bCs/>
        </w:rPr>
        <w:t>DECRETO</w:t>
      </w:r>
    </w:p>
    <w:p w14:paraId="6235E6BD" w14:textId="77777777" w:rsidR="003345C8" w:rsidRDefault="003345C8">
      <w:pPr>
        <w:jc w:val="both"/>
      </w:pPr>
    </w:p>
    <w:p w14:paraId="48E1BCD2" w14:textId="77777777" w:rsidR="003345C8" w:rsidRDefault="00143BC8">
      <w:pPr>
        <w:jc w:val="both"/>
      </w:pPr>
      <w:r>
        <w:tab/>
        <w:t>Examinado el expediente relativo a la Liquidación del Presupuesto del Consorcio de Seguridad y Emergencias de Lanzarote para el ejercicio económico 2021.</w:t>
      </w:r>
    </w:p>
    <w:p w14:paraId="1715AE2A" w14:textId="77777777" w:rsidR="003345C8" w:rsidRDefault="003345C8">
      <w:pPr>
        <w:jc w:val="both"/>
      </w:pPr>
    </w:p>
    <w:p w14:paraId="35C74DFC" w14:textId="77777777" w:rsidR="003345C8" w:rsidRDefault="00143BC8">
      <w:pPr>
        <w:jc w:val="both"/>
      </w:pPr>
      <w:r>
        <w:tab/>
      </w:r>
      <w:r>
        <w:rPr>
          <w:b/>
          <w:bCs/>
        </w:rPr>
        <w:t xml:space="preserve">Resultando: </w:t>
      </w:r>
      <w:r>
        <w:t xml:space="preserve">Que consta el informe emitido por el Sr. Interventor </w:t>
      </w:r>
      <w:proofErr w:type="gramStart"/>
      <w:r>
        <w:t>Delegado</w:t>
      </w:r>
      <w:proofErr w:type="gramEnd"/>
      <w:r>
        <w:t xml:space="preserve"> </w:t>
      </w:r>
      <w:r>
        <w:t>proponiendo la aprobación de la referida Liquidación Presupuestaria.</w:t>
      </w:r>
    </w:p>
    <w:p w14:paraId="3A079663" w14:textId="77777777" w:rsidR="003345C8" w:rsidRDefault="003345C8">
      <w:pPr>
        <w:jc w:val="both"/>
      </w:pPr>
    </w:p>
    <w:p w14:paraId="502125A3" w14:textId="77777777" w:rsidR="003345C8" w:rsidRDefault="00143BC8">
      <w:pPr>
        <w:jc w:val="both"/>
      </w:pPr>
      <w:r>
        <w:tab/>
      </w:r>
      <w:r>
        <w:rPr>
          <w:b/>
          <w:bCs/>
        </w:rPr>
        <w:t>Considerando</w:t>
      </w:r>
      <w:r>
        <w:t>: Que, en virtud de lo dispuesto en el apartado 3º del artículo 191 del R.D. Legislativo 2/2004, de 5 de marzo, por el que se aprueba el Texto Refundido de la Ley Reguladora</w:t>
      </w:r>
      <w:r>
        <w:t xml:space="preserve"> de las Haciendas Locales, que determina que las entidades locales deberán confeccionar la liquidación de su presupuesto, correspondiendo al </w:t>
      </w:r>
      <w:proofErr w:type="gramStart"/>
      <w:r>
        <w:t>Presidente</w:t>
      </w:r>
      <w:proofErr w:type="gramEnd"/>
      <w:r>
        <w:t xml:space="preserve"> de la Entidad Local, previo informe de la Intervención, la aprobación de tal liquidación.</w:t>
      </w:r>
    </w:p>
    <w:p w14:paraId="22ADB79B" w14:textId="77777777" w:rsidR="003345C8" w:rsidRDefault="003345C8">
      <w:pPr>
        <w:jc w:val="both"/>
      </w:pPr>
    </w:p>
    <w:p w14:paraId="7D698388" w14:textId="77777777" w:rsidR="003345C8" w:rsidRDefault="00143BC8">
      <w:pPr>
        <w:jc w:val="both"/>
      </w:pPr>
      <w:r>
        <w:tab/>
      </w:r>
      <w:r>
        <w:rPr>
          <w:b/>
          <w:bCs/>
        </w:rPr>
        <w:t>Considerando</w:t>
      </w:r>
      <w:r>
        <w:t>: Lo establecido en el artículo 90, apartado primero, del R.D. 500/90, de 20 de abril, por el que se desarrolla el Capítulo I del Título VI de la Ley 39/1988 de 28 de diciembre, Reguladora de las Haciendas Locales.</w:t>
      </w:r>
    </w:p>
    <w:p w14:paraId="53E7EA85" w14:textId="77777777" w:rsidR="003345C8" w:rsidRDefault="003345C8">
      <w:pPr>
        <w:jc w:val="both"/>
      </w:pPr>
    </w:p>
    <w:p w14:paraId="031CE2BC" w14:textId="77777777" w:rsidR="003345C8" w:rsidRDefault="00143BC8">
      <w:pPr>
        <w:jc w:val="both"/>
      </w:pPr>
      <w:r>
        <w:tab/>
        <w:t>En uso de las atribuciones que confiere</w:t>
      </w:r>
      <w:r>
        <w:t>n el artículo 21.1 m) en relación con el artículo 185 del Real Decreto Legislativo 2/2004, de 5 de marzo, por el que se aprueba el Texto Refundido de la Ley Reguladora de las Haciendas Locales, artículo 60 del Real Decreto 500/1990, de 20 de abril y artícu</w:t>
      </w:r>
      <w:r>
        <w:t xml:space="preserve">lo 28.1 de los Estatutos del Consorcio. </w:t>
      </w:r>
    </w:p>
    <w:p w14:paraId="063307CA" w14:textId="77777777" w:rsidR="003345C8" w:rsidRDefault="003345C8">
      <w:pPr>
        <w:jc w:val="both"/>
      </w:pPr>
    </w:p>
    <w:p w14:paraId="6EBE7A6B" w14:textId="77777777" w:rsidR="003345C8" w:rsidRDefault="00143BC8">
      <w:pPr>
        <w:jc w:val="both"/>
      </w:pPr>
      <w:r>
        <w:t xml:space="preserve">Conforme a la delegación que me ha sido conferida por la Presidencia del Cabildo de Lanzarote mediante Decreto </w:t>
      </w:r>
      <w:proofErr w:type="spellStart"/>
      <w:r>
        <w:t>nº</w:t>
      </w:r>
      <w:proofErr w:type="spellEnd"/>
      <w:r>
        <w:t xml:space="preserve"> 2021-6379 de fecha 29 de noviembre de 2021, en virtud de lo previsto en el art. 13 de los Estatutos </w:t>
      </w:r>
      <w:r>
        <w:t>del Consorcio y en el artículo 9 de la Ley 40/2015, de 1 de octubre, de Régimen Jurídico del Sector Público.</w:t>
      </w:r>
    </w:p>
    <w:p w14:paraId="1C6B47E3" w14:textId="77777777" w:rsidR="003345C8" w:rsidRDefault="003345C8">
      <w:pPr>
        <w:jc w:val="both"/>
      </w:pPr>
    </w:p>
    <w:p w14:paraId="5AB17EBE" w14:textId="77777777" w:rsidR="003345C8" w:rsidRDefault="00143BC8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RESUELVO: </w:t>
      </w:r>
    </w:p>
    <w:p w14:paraId="66583076" w14:textId="77777777" w:rsidR="003345C8" w:rsidRDefault="003345C8">
      <w:pPr>
        <w:jc w:val="both"/>
      </w:pPr>
    </w:p>
    <w:p w14:paraId="60481F38" w14:textId="77777777" w:rsidR="003345C8" w:rsidRDefault="00143BC8">
      <w:pPr>
        <w:jc w:val="both"/>
      </w:pPr>
      <w:r>
        <w:t xml:space="preserve"> Aprobar la Liquidación del Presupuesto del ejercicio 2021, en los términos siguientes:</w:t>
      </w:r>
    </w:p>
    <w:p w14:paraId="49E286F4" w14:textId="77777777" w:rsidR="003345C8" w:rsidRDefault="003345C8">
      <w:pPr>
        <w:jc w:val="both"/>
      </w:pPr>
    </w:p>
    <w:tbl>
      <w:tblPr>
        <w:tblW w:w="8731" w:type="dxa"/>
        <w:tblInd w:w="49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2042"/>
        <w:gridCol w:w="2126"/>
        <w:gridCol w:w="2269"/>
      </w:tblGrid>
      <w:tr w:rsidR="003345C8" w14:paraId="389E2B33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600FCB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RESULTADO PRESUPUESTARIO</w:t>
            </w:r>
          </w:p>
          <w:p w14:paraId="0A4A875C" w14:textId="77777777" w:rsidR="003345C8" w:rsidRDefault="00143BC8">
            <w:pPr>
              <w:pStyle w:val="Contenidodelatabla"/>
              <w:widowControl w:val="0"/>
            </w:pPr>
            <w:r>
              <w:rPr>
                <w:b/>
                <w:bCs/>
              </w:rPr>
              <w:t>2021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37992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DERECHOS</w:t>
            </w:r>
          </w:p>
          <w:p w14:paraId="37FA767B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RECON</w:t>
            </w:r>
            <w:r>
              <w:t>OCIDOS</w:t>
            </w:r>
          </w:p>
          <w:p w14:paraId="1EA0315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NETOS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90A1BC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OBLIGACIONES</w:t>
            </w:r>
          </w:p>
          <w:p w14:paraId="01994A58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RECONOCIDAS</w:t>
            </w:r>
          </w:p>
          <w:p w14:paraId="70C5C96A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NETAS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CCE83A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RESULTADO</w:t>
            </w:r>
          </w:p>
          <w:p w14:paraId="45F5E87D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PRESUPUESTARIO</w:t>
            </w:r>
          </w:p>
          <w:p w14:paraId="05E4E126" w14:textId="77777777" w:rsidR="003345C8" w:rsidRDefault="003345C8">
            <w:pPr>
              <w:pStyle w:val="Contenidodelatabla"/>
              <w:widowControl w:val="0"/>
              <w:snapToGrid w:val="0"/>
              <w:ind w:left="-1064"/>
            </w:pPr>
          </w:p>
        </w:tc>
      </w:tr>
      <w:tr w:rsidR="003345C8" w14:paraId="2567AB87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EC067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a. Operaciones corrientes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BFD865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6.269.326,99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DD6F23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5.493.862,89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FD6064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775.464,10</w:t>
            </w:r>
          </w:p>
        </w:tc>
      </w:tr>
      <w:tr w:rsidR="003345C8" w14:paraId="3BA8122D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2C33A9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b. Operaciones de capital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C69729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2.553.941,95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A1E5A5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109.705,31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F3DE69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2.444.236,64</w:t>
            </w:r>
          </w:p>
        </w:tc>
      </w:tr>
      <w:tr w:rsidR="003345C8" w14:paraId="168AB796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CE0C6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1.Total operaciones no financieras (</w:t>
            </w:r>
            <w:proofErr w:type="spellStart"/>
            <w:r>
              <w:t>a+b</w:t>
            </w:r>
            <w:proofErr w:type="spellEnd"/>
            <w:r>
              <w:t>)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BDE2B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8.823.268,94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B07660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5.603.568,20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BA3B89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3.219.700,74</w:t>
            </w:r>
          </w:p>
        </w:tc>
      </w:tr>
      <w:tr w:rsidR="003345C8" w14:paraId="1DAE5AAD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B1AD89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lastRenderedPageBreak/>
              <w:t>c. Activos financieros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5B5BE0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34.987,51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E08AED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23.484,43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3E64D0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11.503,08</w:t>
            </w:r>
          </w:p>
        </w:tc>
      </w:tr>
      <w:tr w:rsidR="003345C8" w14:paraId="1B38CEC6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14:paraId="44D973E4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d. Pasivos financieros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14:paraId="653FD1E2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</w:tcPr>
          <w:p w14:paraId="5C63C60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0,00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14:paraId="7AB20A0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0,00</w:t>
            </w:r>
          </w:p>
        </w:tc>
      </w:tr>
      <w:tr w:rsidR="003345C8" w14:paraId="3BC14F57" w14:textId="77777777">
        <w:tc>
          <w:tcPr>
            <w:tcW w:w="22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61360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2. Total operaciones financieras (</w:t>
            </w:r>
            <w:proofErr w:type="spellStart"/>
            <w:r>
              <w:t>c+d</w:t>
            </w:r>
            <w:proofErr w:type="spellEnd"/>
            <w:r>
              <w:t>)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61A76B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34.987,51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6092CE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23.484,43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ECC7FE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11.503,08</w:t>
            </w:r>
          </w:p>
        </w:tc>
      </w:tr>
      <w:tr w:rsidR="003345C8" w14:paraId="08335E68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0D7DF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RESULTADO PRESUPUESTARIO (1+2)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A56F60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8.858.256,45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AE9424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5.627.052,63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75E087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3.231.203,82</w:t>
            </w:r>
          </w:p>
        </w:tc>
      </w:tr>
      <w:tr w:rsidR="003345C8" w14:paraId="3A9ABA4D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B97A9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AJUSTES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A0151F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57172F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214681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</w:tr>
      <w:tr w:rsidR="003345C8" w14:paraId="22F6226E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E9E42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3.Créditos gastados financiados con RTGG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E19CC2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477EFD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DF98C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0,00</w:t>
            </w:r>
          </w:p>
        </w:tc>
      </w:tr>
      <w:tr w:rsidR="003345C8" w14:paraId="239E5B0B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9398A5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4.D.F. negativas del ejercicio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53E51B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891D9E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4203F2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1.002.365,62</w:t>
            </w:r>
          </w:p>
        </w:tc>
      </w:tr>
      <w:tr w:rsidR="003345C8" w14:paraId="731FC39B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177FDA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5. D.F. positivas del ejercicio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909347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6EF6C4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FD8D3A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2.566.005,66</w:t>
            </w:r>
          </w:p>
        </w:tc>
      </w:tr>
      <w:tr w:rsidR="003345C8" w14:paraId="7C01047D" w14:textId="77777777"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A013D6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RESULTADO PRESUPUESTARIO AJUSTADO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25BC67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B99615" w14:textId="77777777" w:rsidR="003345C8" w:rsidRDefault="003345C8">
            <w:pPr>
              <w:pStyle w:val="Contenidodelatabla"/>
              <w:widowControl w:val="0"/>
              <w:snapToGrid w:val="0"/>
              <w:jc w:val="right"/>
            </w:pP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BF7539" w14:textId="77777777" w:rsidR="003345C8" w:rsidRDefault="00143BC8">
            <w:pPr>
              <w:pStyle w:val="Contenidodelatabla"/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1.667.563,78</w:t>
            </w:r>
          </w:p>
        </w:tc>
      </w:tr>
    </w:tbl>
    <w:p w14:paraId="4E16281E" w14:textId="77777777" w:rsidR="003345C8" w:rsidRDefault="003345C8">
      <w:pPr>
        <w:jc w:val="both"/>
      </w:pPr>
    </w:p>
    <w:p w14:paraId="430DF8B7" w14:textId="77777777" w:rsidR="003345C8" w:rsidRDefault="00143BC8">
      <w:pPr>
        <w:pStyle w:val="Textoindependiente"/>
      </w:pPr>
      <w:r>
        <w:tab/>
      </w:r>
    </w:p>
    <w:p w14:paraId="0A0B5AF4" w14:textId="77777777" w:rsidR="003345C8" w:rsidRDefault="00143BC8">
      <w:pPr>
        <w:jc w:val="both"/>
      </w:pPr>
      <w:r>
        <w:tab/>
      </w:r>
    </w:p>
    <w:tbl>
      <w:tblPr>
        <w:tblW w:w="8730" w:type="dxa"/>
        <w:tblInd w:w="49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0"/>
        <w:gridCol w:w="1890"/>
      </w:tblGrid>
      <w:tr w:rsidR="003345C8" w14:paraId="6B420A13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ACE747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ESTADO DE REMANENTE DE TESORERIA 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31882E" w14:textId="77777777" w:rsidR="003345C8" w:rsidRDefault="00143BC8">
            <w:pPr>
              <w:pStyle w:val="Contenidodelatabl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345C8" w14:paraId="198BD70C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897209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1.Fondos líquidos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E8BC48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5.916.431,00</w:t>
            </w:r>
          </w:p>
        </w:tc>
      </w:tr>
      <w:tr w:rsidR="003345C8" w14:paraId="2250D010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C5A660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2.Derechos pendientes de cobro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8C817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647.955,07</w:t>
            </w:r>
          </w:p>
        </w:tc>
      </w:tr>
      <w:tr w:rsidR="003345C8" w14:paraId="26F9B4B7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4AB10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3.Obligaciones pendientes de pago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75603B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379.174,51</w:t>
            </w:r>
          </w:p>
        </w:tc>
      </w:tr>
      <w:tr w:rsidR="003345C8" w14:paraId="2F3DF1E1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969EEE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4. Partidas pendientes de aplicación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5BF11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 xml:space="preserve"> 0,00  </w:t>
            </w:r>
          </w:p>
        </w:tc>
      </w:tr>
      <w:tr w:rsidR="003345C8" w14:paraId="6AF02136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75006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 xml:space="preserve">I. Remanente de Tesorería Total </w:t>
            </w:r>
            <w:r>
              <w:t>(1+2-3+4)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9C798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6.185.211,56</w:t>
            </w:r>
          </w:p>
        </w:tc>
      </w:tr>
      <w:tr w:rsidR="003345C8" w14:paraId="72E19D02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3712A7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II. Saldos de dudoso cobro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D33D3F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522.345,65</w:t>
            </w:r>
          </w:p>
        </w:tc>
      </w:tr>
      <w:tr w:rsidR="003345C8" w14:paraId="471C219C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51512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III. Exceso financiación afectada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A2657C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2.566.005,66</w:t>
            </w:r>
          </w:p>
        </w:tc>
      </w:tr>
      <w:tr w:rsidR="003345C8" w14:paraId="6A9767B2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42362A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Remanente de Tesorería para Gastos Generales (I-II-III)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24B098" w14:textId="77777777" w:rsidR="003345C8" w:rsidRDefault="00143BC8">
            <w:pPr>
              <w:pStyle w:val="Contenidodelatabla"/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3.096.860,25</w:t>
            </w:r>
          </w:p>
        </w:tc>
      </w:tr>
    </w:tbl>
    <w:p w14:paraId="4D720582" w14:textId="77777777" w:rsidR="003345C8" w:rsidRDefault="003345C8">
      <w:pPr>
        <w:jc w:val="both"/>
      </w:pPr>
    </w:p>
    <w:p w14:paraId="2A4A3102" w14:textId="77777777" w:rsidR="003345C8" w:rsidRDefault="00143BC8">
      <w:pPr>
        <w:jc w:val="both"/>
      </w:pPr>
      <w:r>
        <w:tab/>
      </w:r>
      <w:r>
        <w:tab/>
      </w:r>
    </w:p>
    <w:p w14:paraId="7B46D8F6" w14:textId="77777777" w:rsidR="003345C8" w:rsidRDefault="003345C8">
      <w:pPr>
        <w:jc w:val="both"/>
      </w:pPr>
    </w:p>
    <w:p w14:paraId="67FE6142" w14:textId="77777777" w:rsidR="003345C8" w:rsidRDefault="003345C8">
      <w:pPr>
        <w:jc w:val="both"/>
        <w:rPr>
          <w:b/>
          <w:bCs/>
        </w:rPr>
      </w:pPr>
    </w:p>
    <w:p w14:paraId="24E5FF9D" w14:textId="77777777" w:rsidR="003345C8" w:rsidRDefault="003345C8">
      <w:pPr>
        <w:jc w:val="both"/>
        <w:rPr>
          <w:b/>
          <w:bCs/>
        </w:rPr>
      </w:pPr>
    </w:p>
    <w:p w14:paraId="268BED53" w14:textId="77777777" w:rsidR="003345C8" w:rsidRDefault="003345C8">
      <w:pPr>
        <w:jc w:val="both"/>
        <w:rPr>
          <w:b/>
          <w:bCs/>
        </w:rPr>
      </w:pPr>
    </w:p>
    <w:p w14:paraId="611C40F9" w14:textId="77777777" w:rsidR="003345C8" w:rsidRDefault="003345C8">
      <w:pPr>
        <w:jc w:val="both"/>
        <w:rPr>
          <w:b/>
          <w:bCs/>
        </w:rPr>
      </w:pPr>
    </w:p>
    <w:p w14:paraId="13F576AA" w14:textId="77777777" w:rsidR="003345C8" w:rsidRDefault="003345C8">
      <w:pPr>
        <w:jc w:val="both"/>
        <w:rPr>
          <w:b/>
          <w:bCs/>
        </w:rPr>
      </w:pPr>
    </w:p>
    <w:p w14:paraId="4AD601F1" w14:textId="77777777" w:rsidR="003345C8" w:rsidRDefault="003345C8">
      <w:pPr>
        <w:jc w:val="both"/>
        <w:rPr>
          <w:b/>
          <w:bCs/>
        </w:rPr>
      </w:pPr>
    </w:p>
    <w:p w14:paraId="0F155E82" w14:textId="77777777" w:rsidR="003345C8" w:rsidRDefault="003345C8">
      <w:pPr>
        <w:rPr>
          <w:b/>
          <w:bCs/>
        </w:rPr>
      </w:pPr>
    </w:p>
    <w:tbl>
      <w:tblPr>
        <w:tblW w:w="8730" w:type="dxa"/>
        <w:tblInd w:w="49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0"/>
        <w:gridCol w:w="1890"/>
      </w:tblGrid>
      <w:tr w:rsidR="003345C8" w14:paraId="47304CED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D7608B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LIQUIDACION DEL PRESUPUESTO INGRESOS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9F7AA0" w14:textId="77777777" w:rsidR="003345C8" w:rsidRDefault="00143BC8">
            <w:pPr>
              <w:pStyle w:val="Contenidodelatabl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345C8" w14:paraId="57A544C1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04033B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Previsiones iniciales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FCADD2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6.165.283,00</w:t>
            </w:r>
          </w:p>
        </w:tc>
      </w:tr>
      <w:tr w:rsidR="003345C8" w14:paraId="04856A7C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4B7681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Modificaciones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0E1D43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3.694.307,57</w:t>
            </w:r>
          </w:p>
        </w:tc>
      </w:tr>
      <w:tr w:rsidR="003345C8" w14:paraId="58430633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52D40B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Previsiones definitivas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9D57ED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9.859.590,57</w:t>
            </w:r>
          </w:p>
        </w:tc>
      </w:tr>
      <w:tr w:rsidR="003345C8" w14:paraId="178B0C2E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51A9F9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Derechos reconocidos netos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F267F6" w14:textId="77777777" w:rsidR="003345C8" w:rsidRDefault="00143BC8">
            <w:pPr>
              <w:pStyle w:val="Contenidodelatabla"/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8.858.256,45</w:t>
            </w:r>
          </w:p>
        </w:tc>
      </w:tr>
      <w:tr w:rsidR="003345C8" w14:paraId="62A93305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5F02F2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Derechos reconocidos pendientes cobro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00EDA1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6.118,00</w:t>
            </w:r>
          </w:p>
        </w:tc>
      </w:tr>
      <w:tr w:rsidR="003345C8" w14:paraId="087595CC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1738A3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Recaudación Líquida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E47551" w14:textId="77777777" w:rsidR="003345C8" w:rsidRDefault="00143BC8">
            <w:pPr>
              <w:pStyle w:val="Contenidodelatabla"/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8.852.138,45</w:t>
            </w:r>
          </w:p>
        </w:tc>
      </w:tr>
    </w:tbl>
    <w:p w14:paraId="22005FC5" w14:textId="77777777" w:rsidR="003345C8" w:rsidRDefault="003345C8">
      <w:pPr>
        <w:rPr>
          <w:b/>
          <w:bCs/>
        </w:rPr>
      </w:pPr>
    </w:p>
    <w:tbl>
      <w:tblPr>
        <w:tblW w:w="8730" w:type="dxa"/>
        <w:tblInd w:w="49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0"/>
        <w:gridCol w:w="1890"/>
      </w:tblGrid>
      <w:tr w:rsidR="003345C8" w14:paraId="39D5EA14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66C5F0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LIQUIDACION DEL </w:t>
            </w:r>
            <w:r>
              <w:rPr>
                <w:b/>
                <w:bCs/>
              </w:rPr>
              <w:t>PRESUPUESTO GASTOS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8C4329A" w14:textId="77777777" w:rsidR="003345C8" w:rsidRDefault="00143BC8">
            <w:pPr>
              <w:pStyle w:val="Contenidodelatabl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3345C8" w14:paraId="64C49ED6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81DA94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Créditos iniciales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AB4D63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6.165.283,00</w:t>
            </w:r>
          </w:p>
        </w:tc>
      </w:tr>
      <w:tr w:rsidR="003345C8" w14:paraId="0509CCA9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0E69B5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Modificaciones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FA2928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3.694.307,57</w:t>
            </w:r>
          </w:p>
        </w:tc>
      </w:tr>
      <w:tr w:rsidR="003345C8" w14:paraId="356D0FD2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FD1CCD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Créditos definitivos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46C12A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9.859.590,57</w:t>
            </w:r>
          </w:p>
        </w:tc>
      </w:tr>
      <w:tr w:rsidR="003345C8" w14:paraId="40AFBD34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4C189" w14:textId="77777777" w:rsidR="003345C8" w:rsidRDefault="00143BC8">
            <w:pPr>
              <w:pStyle w:val="Contenidodelatabla"/>
              <w:widowControl w:val="0"/>
              <w:snapToGrid w:val="0"/>
            </w:pPr>
            <w:r>
              <w:t>Obligaciones reconocidas netas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816941" w14:textId="77777777" w:rsidR="003345C8" w:rsidRDefault="00143BC8">
            <w:pPr>
              <w:pStyle w:val="Contenidodelatabla"/>
              <w:widowControl w:val="0"/>
              <w:snapToGrid w:val="0"/>
              <w:jc w:val="right"/>
            </w:pPr>
            <w:r>
              <w:t>5.627.052,63</w:t>
            </w:r>
          </w:p>
        </w:tc>
      </w:tr>
      <w:tr w:rsidR="003345C8" w14:paraId="496DABE5" w14:textId="77777777">
        <w:tc>
          <w:tcPr>
            <w:tcW w:w="6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FA3E85" w14:textId="77777777" w:rsidR="003345C8" w:rsidRDefault="00143BC8">
            <w:pPr>
              <w:pStyle w:val="Contenidodelatabl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Obligaciones pendientes de pago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3D4ADD" w14:textId="77777777" w:rsidR="003345C8" w:rsidRDefault="00143BC8">
            <w:pPr>
              <w:pStyle w:val="Contenidodelatabla"/>
              <w:widowControl w:val="0"/>
              <w:snapToGrid w:val="0"/>
              <w:jc w:val="right"/>
              <w:rPr>
                <w:b/>
                <w:bCs/>
              </w:rPr>
            </w:pPr>
            <w:bookmarkStart w:id="0" w:name="_Hlk486504025"/>
            <w:bookmarkEnd w:id="0"/>
            <w:r>
              <w:rPr>
                <w:b/>
                <w:bCs/>
              </w:rPr>
              <w:t>200.902,87</w:t>
            </w:r>
          </w:p>
        </w:tc>
      </w:tr>
    </w:tbl>
    <w:p w14:paraId="0F683F18" w14:textId="77777777" w:rsidR="003345C8" w:rsidRDefault="003345C8">
      <w:pPr>
        <w:rPr>
          <w:b/>
          <w:bCs/>
        </w:rPr>
      </w:pPr>
    </w:p>
    <w:p w14:paraId="2D493976" w14:textId="77777777" w:rsidR="003345C8" w:rsidRDefault="00143BC8">
      <w:pPr>
        <w:pStyle w:val="Textoindependiente"/>
        <w:tabs>
          <w:tab w:val="left" w:pos="1105"/>
        </w:tabs>
      </w:pPr>
      <w:r>
        <w:t xml:space="preserve">          </w:t>
      </w:r>
    </w:p>
    <w:p w14:paraId="6D2E311E" w14:textId="77777777" w:rsidR="003345C8" w:rsidRDefault="00143BC8">
      <w:pPr>
        <w:pStyle w:val="Textoindependiente"/>
        <w:tabs>
          <w:tab w:val="left" w:pos="1105"/>
        </w:tabs>
      </w:pPr>
      <w:r>
        <w:t xml:space="preserve"> </w:t>
      </w:r>
      <w:r>
        <w:rPr>
          <w:szCs w:val="22"/>
        </w:rPr>
        <w:t xml:space="preserve">Así lo ordena y firma </w:t>
      </w:r>
      <w:r>
        <w:rPr>
          <w:szCs w:val="22"/>
        </w:rPr>
        <w:t xml:space="preserve">electrónicamente el Sr. </w:t>
      </w:r>
      <w:proofErr w:type="gramStart"/>
      <w:r>
        <w:rPr>
          <w:szCs w:val="22"/>
        </w:rPr>
        <w:t>Presidente</w:t>
      </w:r>
      <w:proofErr w:type="gramEnd"/>
      <w:r>
        <w:rPr>
          <w:szCs w:val="22"/>
        </w:rPr>
        <w:t xml:space="preserve"> del Consorcio de Seguridad y Emergencias de la isla de Lanzarote como órgano competente, de conformidad con lo previsto en el artículo 43 de la Ley 40/2015, de 1 de octubre, de Régimen Jurídico del Sector Público, pudiend</w:t>
      </w:r>
      <w:r>
        <w:rPr>
          <w:szCs w:val="22"/>
        </w:rPr>
        <w:t>o ser verificado el contenido del presente documento en la sede electrónica de esta entidad, utilizando el código de validación especificado en el margen derecho del mismo.</w:t>
      </w:r>
    </w:p>
    <w:p w14:paraId="201F3028" w14:textId="77777777" w:rsidR="003345C8" w:rsidRDefault="003345C8">
      <w:pPr>
        <w:jc w:val="both"/>
      </w:pPr>
    </w:p>
    <w:p w14:paraId="67872381" w14:textId="77777777" w:rsidR="003345C8" w:rsidRDefault="003345C8">
      <w:pPr>
        <w:jc w:val="both"/>
      </w:pPr>
    </w:p>
    <w:sectPr w:rsidR="003345C8">
      <w:headerReference w:type="default" r:id="rId6"/>
      <w:footerReference w:type="default" r:id="rId7"/>
      <w:pgSz w:w="11906" w:h="16838"/>
      <w:pgMar w:top="2569" w:right="1588" w:bottom="1701" w:left="1588" w:header="709" w:footer="709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22FC" w14:textId="77777777" w:rsidR="00000000" w:rsidRDefault="00143BC8">
      <w:r>
        <w:separator/>
      </w:r>
    </w:p>
  </w:endnote>
  <w:endnote w:type="continuationSeparator" w:id="0">
    <w:p w14:paraId="3BC3D7C6" w14:textId="77777777" w:rsidR="00000000" w:rsidRDefault="0014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904" w14:textId="77777777" w:rsidR="003345C8" w:rsidRDefault="00143BC8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04CC59CD" w14:textId="77777777" w:rsidR="003345C8" w:rsidRDefault="00143BC8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2E9DBB8E" w14:textId="77777777" w:rsidR="003345C8" w:rsidRDefault="00143BC8">
    <w:pPr>
      <w:pStyle w:val="Footer1"/>
      <w:jc w:val="center"/>
      <w:rPr>
        <w:sz w:val="14"/>
        <w:szCs w:val="14"/>
      </w:rPr>
    </w:pPr>
    <w:r>
      <w:rPr>
        <w:rFonts w:ascii="Arial" w:hAnsi="Arial" w:cs="Arial"/>
        <w:sz w:val="16"/>
        <w:szCs w:val="16"/>
      </w:rPr>
      <w:t>Teléfono: 928 80 40 04     www.emergenciaslanzarote.com</w:t>
    </w: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F5D0" w14:textId="77777777" w:rsidR="00000000" w:rsidRDefault="00143BC8">
      <w:r>
        <w:separator/>
      </w:r>
    </w:p>
  </w:footnote>
  <w:footnote w:type="continuationSeparator" w:id="0">
    <w:p w14:paraId="4FFEB9B2" w14:textId="77777777" w:rsidR="00000000" w:rsidRDefault="0014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794F" w14:textId="77777777" w:rsidR="003345C8" w:rsidRDefault="00143BC8">
    <w:pPr>
      <w:pStyle w:val="Header1"/>
      <w:rPr>
        <w:rFonts w:ascii="Verdana" w:hAnsi="Verdana" w:cs="Verdana"/>
      </w:rPr>
    </w:pPr>
    <w:r>
      <w:rPr>
        <w:rFonts w:ascii="Verdana" w:hAnsi="Verdana" w:cs="Verdana"/>
        <w:noProof/>
      </w:rPr>
      <w:drawing>
        <wp:anchor distT="0" distB="0" distL="114300" distR="114300" simplePos="0" relativeHeight="4" behindDoc="1" locked="0" layoutInCell="0" allowOverlap="1" wp14:anchorId="1CF452F3" wp14:editId="641EE8BA">
          <wp:simplePos x="0" y="0"/>
          <wp:positionH relativeFrom="column">
            <wp:posOffset>-274955</wp:posOffset>
          </wp:positionH>
          <wp:positionV relativeFrom="paragraph">
            <wp:posOffset>-393065</wp:posOffset>
          </wp:positionV>
          <wp:extent cx="4181475" cy="1114425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99A4D" w14:textId="77777777" w:rsidR="003345C8" w:rsidRDefault="003345C8">
    <w:pPr>
      <w:pStyle w:val="Header1"/>
      <w:rPr>
        <w:rFonts w:ascii="Verdana" w:hAnsi="Verdana" w:cs="Verdana"/>
      </w:rPr>
    </w:pPr>
  </w:p>
  <w:p w14:paraId="55814434" w14:textId="77777777" w:rsidR="003345C8" w:rsidRDefault="003345C8">
    <w:pPr>
      <w:pStyle w:val="Header1"/>
      <w:rPr>
        <w:rFonts w:ascii="Verdana" w:hAnsi="Verdana" w:cs="Verdana"/>
      </w:rPr>
    </w:pPr>
  </w:p>
  <w:p w14:paraId="5B225CA0" w14:textId="77777777" w:rsidR="003345C8" w:rsidRDefault="003345C8">
    <w:pPr>
      <w:pStyle w:val="Header1"/>
      <w:rPr>
        <w:rFonts w:ascii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C8"/>
    <w:rsid w:val="00143BC8"/>
    <w:rsid w:val="003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0FE"/>
  <w15:docId w15:val="{46A45012-602B-4E98-B86B-59573D1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basedOn w:val="Fuentedeprrafopredeter"/>
    <w:uiPriority w:val="99"/>
    <w:qFormat/>
    <w:rsid w:val="00727CAA"/>
    <w:rPr>
      <w:color w:val="000000"/>
    </w:rPr>
  </w:style>
  <w:style w:type="character" w:customStyle="1" w:styleId="EnlacedeInternet">
    <w:name w:val="Enlace de Internet"/>
    <w:basedOn w:val="Fuentedeprrafopredeter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EC3948"/>
    <w:rPr>
      <w:sz w:val="24"/>
      <w:szCs w:val="24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66778"/>
    <w:pPr>
      <w:widowControl/>
      <w:jc w:val="both"/>
      <w:textAlignment w:val="auto"/>
    </w:pPr>
    <w:rPr>
      <w:lang w:eastAsia="ar-SA"/>
    </w:rPr>
  </w:style>
  <w:style w:type="paragraph" w:styleId="Lista">
    <w:name w:val="List"/>
    <w:basedOn w:val="Normal"/>
    <w:uiPriority w:val="99"/>
    <w:rsid w:val="00727CAA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qFormat/>
    <w:rsid w:val="00727CAA"/>
    <w:pPr>
      <w:suppressLineNumbers/>
    </w:pPr>
  </w:style>
  <w:style w:type="paragraph" w:customStyle="1" w:styleId="Ttulo1">
    <w:name w:val="Título1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color w:val="00000A"/>
      <w:sz w:val="28"/>
      <w:szCs w:val="28"/>
    </w:rPr>
  </w:style>
  <w:style w:type="paragraph" w:customStyle="1" w:styleId="Standard">
    <w:name w:val="Standard"/>
    <w:uiPriority w:val="99"/>
    <w:qFormat/>
    <w:rsid w:val="00727CAA"/>
    <w:pPr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uiPriority w:val="99"/>
    <w:qFormat/>
    <w:rsid w:val="00866778"/>
    <w:pPr>
      <w:widowControl/>
      <w:suppressLineNumbers/>
      <w:textAlignment w:val="auto"/>
    </w:pPr>
    <w:rPr>
      <w:lang w:eastAsia="ar-SA"/>
    </w:rPr>
  </w:style>
  <w:style w:type="numbering" w:customStyle="1" w:styleId="WW8Num1">
    <w:name w:val="WW8Num1"/>
    <w:qFormat/>
    <w:rsid w:val="0047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dc:description/>
  <cp:lastModifiedBy>Sara Rodríguez</cp:lastModifiedBy>
  <cp:revision>2</cp:revision>
  <cp:lastPrinted>2015-07-31T08:08:00Z</cp:lastPrinted>
  <dcterms:created xsi:type="dcterms:W3CDTF">2022-06-01T09:46:00Z</dcterms:created>
  <dcterms:modified xsi:type="dcterms:W3CDTF">2022-06-01T09:46:00Z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Plantilla CACT">
    <vt:lpwstr>Plantilla CACT</vt:lpwstr>
  </property>
  <property fmtid="{D5CDD505-2E9C-101B-9397-08002B2CF9AE}" pid="5" name="Plantilla de los Centros de Arte, Cultura y Turismo">
    <vt:lpwstr>Plantilla de los Centros de Arte, Cultura y Turismo</vt:lpwstr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